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1"/>
          <w:color w:val="000000"/>
          <w:sz w:val="32"/>
          <w:szCs w:val="32"/>
          <w:rtl w:val="0"/>
        </w:rPr>
        <w:t xml:space="preserve">Mars Farm</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10: </w:t>
      </w:r>
      <w:r w:rsidDel="00000000" w:rsidR="00000000" w:rsidRPr="00000000">
        <w:rPr>
          <w:rFonts w:ascii="Times New Roman" w:cs="Times New Roman" w:eastAsia="Times New Roman" w:hAnsi="Times New Roman"/>
          <w:b w:val="0"/>
          <w:color w:val="000000"/>
          <w:sz w:val="24"/>
          <w:szCs w:val="24"/>
          <w:rtl w:val="0"/>
        </w:rPr>
        <w:t xml:space="preserve">2-D design phase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Problem Statement: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Students must work together in teams to create a design a growing environment on Mars that will sustain three researchers for three years. Students use their data from previous lessons to begin to design a 2D model that meets the criteria and constraints.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Learning Objectives: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Real world problems are often ambiguous and do not have a clear answer. Rather the problem is solved through iterations of a disciplined problem solving methodology called the engineering design process. Failing to immediately arrive at the right answer is part of the engineering process.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Standards (NGSS, CCSS, CTE):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MS-ETS1-4   Engineering Design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Develop a model to generate data for iterative testing and modification of a proposed object, tool, or process such that an optimal design can be achieved.</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pStyle w:val="Heading4"/>
        <w:spacing w:before="0" w:lineRule="auto"/>
        <w:contextualSpacing w:val="0"/>
      </w:pPr>
      <w:hyperlink r:id="rId6">
        <w:r w:rsidDel="00000000" w:rsidR="00000000" w:rsidRPr="00000000">
          <w:rPr>
            <w:rFonts w:ascii="Times New Roman" w:cs="Times New Roman" w:eastAsia="Times New Roman" w:hAnsi="Times New Roman"/>
            <w:b w:val="0"/>
            <w:color w:val="0000ff"/>
            <w:u w:val="single"/>
            <w:rtl w:val="0"/>
          </w:rPr>
          <w:t xml:space="preserve">CCSS.Math.Content.6.RP.A.1</w:t>
        </w:r>
      </w:hyperlink>
      <w:hyperlink r:id="rId7">
        <w:r w:rsidDel="00000000" w:rsidR="00000000" w:rsidRPr="00000000">
          <w:rPr>
            <w:rtl w:val="0"/>
          </w:rPr>
        </w:r>
      </w:hyperlink>
    </w:p>
    <w:p w:rsidR="00000000" w:rsidDel="00000000" w:rsidP="00000000" w:rsidRDefault="00000000" w:rsidRPr="00000000">
      <w:pPr>
        <w:pStyle w:val="Heading4"/>
        <w:spacing w:before="0" w:lineRule="auto"/>
        <w:contextualSpacing w:val="0"/>
      </w:pPr>
      <w:r w:rsidDel="00000000" w:rsidR="00000000" w:rsidRPr="00000000">
        <w:rPr>
          <w:rFonts w:ascii="Times New Roman" w:cs="Times New Roman" w:eastAsia="Times New Roman" w:hAnsi="Times New Roman"/>
          <w:b w:val="0"/>
          <w:rtl w:val="0"/>
        </w:rPr>
        <w:t xml:space="preserve">Understand the concept of a ratio and use ratio language to describe a ratio relationship between two quantities.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CCSS.Math. Content 7. GA.1 Solve problems involving scale drawings of figures.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Materials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Science notebooks with final crop plan revision</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Graph paper</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Rulers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Calculators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Whiteboard / Chalkboard / DocCam</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Preparation</w:t>
      </w: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The instructor should be familiar with the concepts of dimensional analysis i.e., using units of measurement to develop equations.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Time Required</w:t>
      </w:r>
      <w:r w:rsidDel="00000000" w:rsidR="00000000" w:rsidRPr="00000000">
        <w:rPr>
          <w:rFonts w:ascii="Times New Roman" w:cs="Times New Roman" w:eastAsia="Times New Roman" w:hAnsi="Times New Roman"/>
          <w:b w:val="0"/>
          <w:color w:val="000000"/>
          <w:sz w:val="24"/>
          <w:szCs w:val="24"/>
          <w:rtl w:val="0"/>
        </w:rPr>
        <w:t xml:space="preserve">: 45 minutes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Grouping of Students for Instruction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As sixth grade teachers, we decided to predetermine our groups to balance for mathematical ability (lots of ratio/proportion work), engineering and design background, reading level, ELL vs. highly capable, social skills, leadership skills, organization, etc.). The students all share the same “team” roles in this PBL; however, we know some may naturally gravitate toward particular tasks.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Procedure</w:t>
      </w:r>
      <w:r w:rsidDel="00000000" w:rsidR="00000000" w:rsidRPr="00000000">
        <w:rPr>
          <w:rFonts w:ascii="Times New Roman" w:cs="Times New Roman" w:eastAsia="Times New Roman" w:hAnsi="Times New Roman"/>
          <w:b w:val="1"/>
          <w:color w:val="000000"/>
          <w:sz w:val="24"/>
          <w:szCs w:val="24"/>
          <w:vertAlign w:val="superscript"/>
        </w:rPr>
        <w:footnoteReference w:customMarkFollows="0" w:id="0"/>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u w:val="single"/>
          <w:rtl w:val="0"/>
        </w:rPr>
        <w:t xml:space="preserve">Determine Best Fit Solution</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Using the area requirements from their final crop revision, student will select a scale and draw a layout for their crops on graph paper.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Assessment: </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Group has a 2-D crop plan that is drawn to scale.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Accommodations: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Engineering profile could be turned into a Google Doc for word processing if handwriting an issue.</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 will be reading and rereading assignment.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Classrooms have microphones for hearing impaired.</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Teachers could also enlarge any documents under document camera.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Extensions: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The instructor may choose to have students iterate their layout or consider vertical growing options.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8" w:type="default"/>
      <w:footerReference r:id="rId9"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Fonts w:ascii="Times New Roman" w:cs="Times New Roman" w:eastAsia="Times New Roman" w:hAnsi="Times New Roman"/>
        <w:b w:val="0"/>
        <w:i w:val="1"/>
        <w:color w:val="000000"/>
        <w:sz w:val="20"/>
        <w:szCs w:val="20"/>
        <w:rtl w:val="0"/>
      </w:rPr>
      <w:t xml:space="preserve">pbl template_</w:t>
    </w:r>
    <w:r w:rsidDel="00000000" w:rsidR="00000000" w:rsidRPr="00000000">
      <w:rPr>
        <w:rFonts w:ascii="Times New Roman" w:cs="Times New Roman" w:eastAsia="Times New Roman" w:hAnsi="Times New Roman"/>
        <w:b w:val="0"/>
        <w:color w:val="000000"/>
        <w:sz w:val="20"/>
        <w:szCs w:val="20"/>
        <w:rtl w:val="0"/>
      </w:rPr>
      <w:t xml:space="preserve">2014-15_fellows_wabsalliance.org</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Fonts w:ascii="Times New Roman" w:cs="Times New Roman" w:eastAsia="Times New Roman" w:hAnsi="Times New Roman"/>
          <w:b w:val="0"/>
          <w:color w:val="000000"/>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color w:val="00000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orestandards.org/Math/Content/6/RP/A/1/" TargetMode="External"/><Relationship Id="rId7" Type="http://schemas.openxmlformats.org/officeDocument/2006/relationships/hyperlink" Target="http://www.corestandards.org/Math/Content/6/RP/A/1/" TargetMode="External"/><Relationship Id="rId8" Type="http://schemas.openxmlformats.org/officeDocument/2006/relationships/header" Target="header1.xml"/></Relationships>
</file>